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071"/>
        </w:tabs>
        <w:spacing w:after="140" w:before="0" w:line="288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800100" cy="847725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47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DEFESA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EXÉRCITO BRASILEIRO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DEPARTAMENTO DE CIÊNCIA E TECNOLOGIA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CENTRO TECNOLÓGICO DO EXÉRCITO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CENTRO TECNOLÓGICO GENERAL ARGUS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Estudo Técnico Preliminar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 Informações Básicas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Número do Estudo Técnico Preliminar: </w:t>
      </w:r>
      <w:r w:rsidDel="00000000" w:rsidR="00000000" w:rsidRPr="00000000">
        <w:rPr>
          <w:sz w:val="24"/>
          <w:szCs w:val="24"/>
          <w:rtl w:val="0"/>
        </w:rPr>
        <w:t xml:space="preserve">002/2023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 Descrição da necessidade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item a ser adquirido visa suprir as necessidades dos laboratórios pertencentes à Seção de Tecnologia em Materiais de Carbono (STMC) da Divisão Bélica do CTEx, considerando-se a demanda média das atividades realizadas, sendo o quantitativos adequados para a manutenção das atividades por um período de 04 (quatro) meses. Tal criogênico será empregado como consumível nas atividades de pesquisa e desenvolvimento da STMC. A qual desenvolve tecnologia nacional de produção de materiais estratégicos de carbono, com destaque para fibras de carbono a partir de piches de petróleo. Para continuar o desenvolvimento da tecnologia de produção destes materiais, é preciso manter a condição operacional dos equipamentos existentes na seção e, portanto, faz-se necessário realizar recargas de gases periodicamente.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Área requisitante</w:t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0"/>
        <w:gridCol w:w="4140"/>
        <w:tblGridChange w:id="0">
          <w:tblGrid>
            <w:gridCol w:w="5340"/>
            <w:gridCol w:w="41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Área Requisitante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Responsável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Laboratórios da STMC da Divisão Bélica do CTEx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Caroline Jovine Bouças Guimarães - Cap</w:t>
            </w:r>
          </w:p>
        </w:tc>
      </w:tr>
    </w:tbl>
    <w:p w:rsidR="00000000" w:rsidDel="00000000" w:rsidP="00000000" w:rsidRDefault="00000000" w:rsidRPr="00000000" w14:paraId="0000001A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 Descrição dos Requisitos da Contratação necessários e suficientes à escolha da solução</w:t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Trata-se de processo administrativo visando à aquisição de nitrogênio liquefeito de forma a atender à demanda dos laboratórios da STMC da Divisão Bélica do CTEx. O que ora é requerido configura em aquisição de consumível, partindo da premissa que a solução demandada atende aos padrões de desempenho e qualidade, podendo ser definida objetivamente por meio de termo de referência, conforme as especificações usuais do mercado. Considerando-se a demanda média das atividades realizadas, sendo os quantitativos adequados para a manutenção das</w:t>
      </w:r>
      <w:r w:rsidDel="00000000" w:rsidR="00000000" w:rsidRPr="00000000">
        <w:rPr>
          <w:sz w:val="24"/>
          <w:szCs w:val="24"/>
          <w:rtl w:val="0"/>
        </w:rPr>
        <w:t xml:space="preserve"> atividades por um período de 04 (quatro) meses. </w:t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 Levantamento de Mercado</w:t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6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pesquisa de preços foi realizada em conformidade com o preconizado na Instrução Normativa n° 73, de 05 de agosto de 2020, do SECRETÁRIO DE GESTÃO DA SECRETARIA ESPECIAL DE DESBUROCRATIZAÇÃO, GESTÃO E GOVERNO DIGITAL DO MINISTÉRIO DA ECONOMIA e os relatórios gerados na consulta ao Painel de Preços, disponível no endereço eletrônico http://paineldeprecos.planejamento.gov.br encontram-se em anexo a este documento. Os valores utilizados como referencial foram a média dos valores, considerando um conjunto de ao menos três preços, cuja seleção foi realizada desconsiderando os valores inexequíveis e os excessivamente elevados. O valor encontrado é o que melhor representa o que é praticado no mercado.</w:t>
      </w:r>
    </w:p>
    <w:p w:rsidR="00000000" w:rsidDel="00000000" w:rsidP="00000000" w:rsidRDefault="00000000" w:rsidRPr="00000000" w14:paraId="00000026">
      <w:pPr>
        <w:spacing w:after="0" w:before="24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Importante destacar que o artigo 49, da Lei Complementar n°123/06, elenca algumas hipóteses que, se presentes no caso concreto, dispensam ou eximem a autoridade responsável pela licitação de aplicar os benefícios previstos nos artigos 47 e 48: a) não houver um mínimo de 3 (três) fornecedores competitivos enquadrados como microempresas ou empresas de pequeno porte sediados local ou regionalmente e capazes de cumprir as exigências estabelecidas no instrumento convocatório; b) o tratamento diferenciado e simplificado para as microempresas e empresas de pequeno porte não for vantajoso para a administração pública ou representar prejuízo ao conjunto ou complexo do objeto a ser contratado.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 Descrição da solução como um todo</w:t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12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contratação será realizada por meio de dispensa de licitação em razão do caráter emergencial no qual a Seção de Tecnologia de Materiais de Carbono (SMTC) se encontra, uma vez que a STMC necessita realizar recargas semanais de nitrogênio líquido para garantir a operacionalidade do equipamento de Ressonância Magnética Nuclear e a empresa vencedora do Pregão Eletrônico SRP Nº 01/2023 – IBG INDUSTRIA BRASILEIRA DE GASES LTDA – não realizou  a entrega no referido material de acordo com o estabelecido no Termo de Referência do referido processo. </w:t>
      </w:r>
    </w:p>
    <w:p w:rsidR="00000000" w:rsidDel="00000000" w:rsidP="00000000" w:rsidRDefault="00000000" w:rsidRPr="00000000" w14:paraId="0000002B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custos logísticos relativos à entrega do objeto serão custeados pela contratada. O objeto deverá ser entregue no seguinte endereço: Av. das Américas, 28.705 – Guaratiba, Rio de Janeiro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7. Estimativa das Quantidades a serem contratadas</w:t>
      </w:r>
    </w:p>
    <w:p w:rsidR="00000000" w:rsidDel="00000000" w:rsidP="00000000" w:rsidRDefault="00000000" w:rsidRPr="00000000" w14:paraId="0000002E">
      <w:pPr>
        <w:spacing w:after="0" w:before="12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 base na avaliação dos equipamentos existentes nos respectivos laboratórios, estima-se que serão necessários, a quantidade especificada abaixo. Os quantitativos estimados são:</w:t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b w:val="1"/>
          <w:color w:val="0000ff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70.0" w:type="dxa"/>
        <w:jc w:val="left"/>
        <w:tblInd w:w="93.0" w:type="dxa"/>
        <w:tblBorders>
          <w:top w:color="000000" w:space="0" w:sz="6" w:val="single"/>
          <w:left w:color="000000" w:space="0" w:sz="6" w:val="single"/>
          <w:bottom w:color="000000" w:space="0" w:sz="6" w:val="single"/>
          <w:insideH w:color="000000" w:space="0" w:sz="6" w:val="single"/>
        </w:tblBorders>
        <w:tblLayout w:type="fixed"/>
        <w:tblLook w:val="0000"/>
      </w:tblPr>
      <w:tblGrid>
        <w:gridCol w:w="585"/>
        <w:gridCol w:w="3975"/>
        <w:gridCol w:w="1440"/>
        <w:gridCol w:w="765"/>
        <w:gridCol w:w="930"/>
        <w:gridCol w:w="1575"/>
        <w:tblGridChange w:id="0">
          <w:tblGrid>
            <w:gridCol w:w="585"/>
            <w:gridCol w:w="3975"/>
            <w:gridCol w:w="1440"/>
            <w:gridCol w:w="765"/>
            <w:gridCol w:w="930"/>
            <w:gridCol w:w="1575"/>
          </w:tblGrid>
        </w:tblGridChange>
      </w:tblGrid>
      <w:tr>
        <w:trPr>
          <w:cantSplit w:val="0"/>
          <w:trHeight w:val="562.1093749999999" w:hRule="atLeast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1"/>
              <w:keepLines w:val="1"/>
              <w:widowControl w:val="0"/>
              <w:numPr>
                <w:ilvl w:val="3"/>
                <w:numId w:val="1"/>
              </w:numPr>
              <w:tabs>
                <w:tab w:val="left" w:leader="none" w:pos="0"/>
              </w:tabs>
              <w:spacing w:after="0" w:before="4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1"/>
              <w:keepLines w:val="1"/>
              <w:widowControl w:val="0"/>
              <w:numPr>
                <w:ilvl w:val="3"/>
                <w:numId w:val="1"/>
              </w:numPr>
              <w:tabs>
                <w:tab w:val="left" w:leader="none" w:pos="0"/>
              </w:tabs>
              <w:spacing w:after="0" w:before="4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Discriminação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1"/>
              <w:keepLines w:val="1"/>
              <w:widowControl w:val="0"/>
              <w:numPr>
                <w:ilvl w:val="3"/>
                <w:numId w:val="1"/>
              </w:numPr>
              <w:tabs>
                <w:tab w:val="left" w:leader="none" w:pos="0"/>
              </w:tabs>
              <w:spacing w:after="0" w:before="4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Und Fornecimento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1"/>
              <w:keepLines w:val="1"/>
              <w:widowControl w:val="0"/>
              <w:numPr>
                <w:ilvl w:val="3"/>
                <w:numId w:val="1"/>
              </w:numPr>
              <w:tabs>
                <w:tab w:val="left" w:leader="none" w:pos="0"/>
              </w:tabs>
              <w:spacing w:after="0" w:before="4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Qtd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1"/>
              <w:keepLines w:val="1"/>
              <w:widowControl w:val="0"/>
              <w:numPr>
                <w:ilvl w:val="3"/>
                <w:numId w:val="1"/>
              </w:numPr>
              <w:tabs>
                <w:tab w:val="left" w:leader="none" w:pos="0"/>
              </w:tabs>
              <w:spacing w:after="0" w:before="4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Unit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1"/>
              <w:keepLines w:val="1"/>
              <w:widowControl w:val="0"/>
              <w:numPr>
                <w:ilvl w:val="1"/>
                <w:numId w:val="1"/>
              </w:numPr>
              <w:tabs>
                <w:tab w:val="left" w:leader="none" w:pos="0"/>
              </w:tabs>
              <w:spacing w:after="0" w:before="40" w:line="240" w:lineRule="auto"/>
              <w:ind w:right="-7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253.55468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Gás comprimido, nome nitrogênio líquido, aspecto físico incolor, inodoro, altamente refrigerado, fórmula química N2, massa molecular 28,96 g/mol, grau de pureza teor min. 99,5% v/v, característica adicional uso industrial, número de referência química CAS: 7727-37-9. CATMAT: 376255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m³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1.914</w:t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R$ 28,13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R$ 53.840,82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shd w:fill="auto" w:val="clear"/>
            <w:tcMar>
              <w:left w:w="2.0" w:type="dxa"/>
              <w:right w:w="10.0" w:type="dxa"/>
            </w:tcMar>
          </w:tcPr>
          <w:p w:rsidR="00000000" w:rsidDel="00000000" w:rsidP="00000000" w:rsidRDefault="00000000" w:rsidRPr="00000000" w14:paraId="0000003C">
            <w:pPr>
              <w:keepNext w:val="1"/>
              <w:keepLines w:val="1"/>
              <w:widowControl w:val="0"/>
              <w:numPr>
                <w:ilvl w:val="3"/>
                <w:numId w:val="1"/>
              </w:numPr>
              <w:tabs>
                <w:tab w:val="left" w:leader="none" w:pos="0"/>
              </w:tabs>
              <w:spacing w:after="0" w:before="40" w:line="240" w:lineRule="auto"/>
              <w:ind w:right="72"/>
              <w:jc w:val="righ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da aquisição (R$)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R$ 53.840,82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8. Estimativa do Valor da Contratação</w:t>
      </w:r>
    </w:p>
    <w:p w:rsidR="00000000" w:rsidDel="00000000" w:rsidP="00000000" w:rsidRDefault="00000000" w:rsidRPr="00000000" w14:paraId="00000045">
      <w:pPr>
        <w:spacing w:after="0" w:line="240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valor estimado da aquisição é de R$ 53.840,82 (cinquenta e três mil e oitocentos e quarenta reais e oitenta e dois centavos).</w:t>
      </w:r>
    </w:p>
    <w:p w:rsidR="00000000" w:rsidDel="00000000" w:rsidP="00000000" w:rsidRDefault="00000000" w:rsidRPr="00000000" w14:paraId="00000047">
      <w:pPr>
        <w:spacing w:after="0" w:line="240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9. Justificativa para o Parcelamento ou não da Solução</w:t>
      </w:r>
    </w:p>
    <w:p w:rsidR="00000000" w:rsidDel="00000000" w:rsidP="00000000" w:rsidRDefault="00000000" w:rsidRPr="00000000" w14:paraId="00000049">
      <w:pPr>
        <w:spacing w:after="0" w:line="240" w:lineRule="auto"/>
        <w:jc w:val="both"/>
        <w:rPr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nitrogênio liquefeito deverá ser adquirido de parcelas de pelo 33  a 80 metros cúbicos, mediante demanda do solicitante durante o período de vigência do contrato e não de uma única vez. Atendendo ao Art. 40, inciso V, alínea b, da Lei nº 14.133/2021. </w:t>
      </w:r>
    </w:p>
    <w:p w:rsidR="00000000" w:rsidDel="00000000" w:rsidP="00000000" w:rsidRDefault="00000000" w:rsidRPr="00000000" w14:paraId="0000004B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10. Contratações Correlatas e/ou Interdependentes</w:t>
      </w:r>
    </w:p>
    <w:p w:rsidR="00000000" w:rsidDel="00000000" w:rsidP="00000000" w:rsidRDefault="00000000" w:rsidRPr="00000000" w14:paraId="0000004D">
      <w:pPr>
        <w:spacing w:after="0" w:line="240" w:lineRule="auto"/>
        <w:jc w:val="both"/>
        <w:rPr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Todas as contratações anteriores foram realizadas de maneira similar e o material recebido sem nenhum tipo de alteração, o que contribui decisivamente para a continuidade das operações do CTEx.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11. D</w:t>
      </w:r>
      <w:r w:rsidDel="00000000" w:rsidR="00000000" w:rsidRPr="00000000">
        <w:rPr>
          <w:b w:val="1"/>
          <w:sz w:val="24"/>
          <w:szCs w:val="24"/>
          <w:rtl w:val="0"/>
        </w:rPr>
        <w:t xml:space="preserve">emonstrativo da previsão da contratação no Plano de Contratações Anual</w:t>
      </w:r>
    </w:p>
    <w:p w:rsidR="00000000" w:rsidDel="00000000" w:rsidP="00000000" w:rsidRDefault="00000000" w:rsidRPr="00000000" w14:paraId="00000051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before="12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aquisições em tela estão previstas no Plano de Descentralização de Recursos de Ciência e Tecnologia 2023, atendendo ao Objetivo Estratégico do Exército de Aperfeiçoar o Sistema de Ciência, Tecnologia e Inovação.</w:t>
      </w:r>
    </w:p>
    <w:p w:rsidR="00000000" w:rsidDel="00000000" w:rsidP="00000000" w:rsidRDefault="00000000" w:rsidRPr="00000000" w14:paraId="00000053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Ação Orçamentária é a 20XJ (Desenvolvimento Tecnológico do Exército) e atende ao Plano Estratégico de Ciência e Tecnologia no sentido de implantar e manter a infraestrutura de Pesquisa e Desenvolvimento deste Centro.</w:t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12. </w:t>
      </w:r>
      <w:r w:rsidDel="00000000" w:rsidR="00000000" w:rsidRPr="00000000">
        <w:rPr>
          <w:b w:val="1"/>
          <w:sz w:val="24"/>
          <w:szCs w:val="24"/>
          <w:rtl w:val="0"/>
        </w:rPr>
        <w:t xml:space="preserve">Demonstrativo dos resultados pretendidos</w:t>
      </w:r>
    </w:p>
    <w:p w:rsidR="00000000" w:rsidDel="00000000" w:rsidP="00000000" w:rsidRDefault="00000000" w:rsidRPr="00000000" w14:paraId="00000057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aquisição é essencial para garantir a operacionalidade do equipamento de Ressonância Magnética Nuclear instalado na Seção de Tecnologia de Materiais de Carbono do CTEx.</w:t>
      </w:r>
    </w:p>
    <w:p w:rsidR="00000000" w:rsidDel="00000000" w:rsidP="00000000" w:rsidRDefault="00000000" w:rsidRPr="00000000" w14:paraId="00000059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13. P</w:t>
      </w:r>
      <w:r w:rsidDel="00000000" w:rsidR="00000000" w:rsidRPr="00000000">
        <w:rPr>
          <w:b w:val="1"/>
          <w:sz w:val="24"/>
          <w:szCs w:val="24"/>
          <w:rtl w:val="0"/>
        </w:rPr>
        <w:t xml:space="preserve">rovidências a serem adotadas pela Administração previamente à celebração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before="12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recebimento do insumo solicitado será de responsabilidade da Seção solicitante. Anualmente a seção recebe este tipo de material e possui pessoal instruído para recebimento e instalação dos itens deste documento. Com relação a fiscalização, destaca-se que os servidores da seção estão plenamente capacitados para agir e intervir de acordo com a legislação vigente.</w:t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14. Possíveis Impactos Ambientais </w:t>
      </w:r>
      <w:r w:rsidDel="00000000" w:rsidR="00000000" w:rsidRPr="00000000">
        <w:rPr>
          <w:b w:val="1"/>
          <w:sz w:val="24"/>
          <w:szCs w:val="24"/>
          <w:rtl w:val="0"/>
        </w:rPr>
        <w:t xml:space="preserve">e respectivas medidas mitigadoras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before="12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atender a aquisição do item deste processo administrativo deverão ser observadas as seguintes informações acerca dos critérios de sustentabilidade nas compras públicas e, portanto, a inclusão dos referidos critérios de sustentabilidade nas especificações do item e nas exigências a serem cobradas da contratada está consubstanciada nos diplomas legais elencados abaixo e nos compromissos internacionais assumidos pelo Estado brasileiro:</w:t>
      </w:r>
    </w:p>
    <w:p w:rsidR="00000000" w:rsidDel="00000000" w:rsidP="00000000" w:rsidRDefault="00000000" w:rsidRPr="00000000" w14:paraId="00000069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14.1 O disposto no art. 170, inciso VI, da Constituição Federal, que estabelece como princípio da ordem econômica a defesa do meio ambiente, inclusive mediante tratamento diferenciado conforme o impacto ambiental dos produtos e serviços e de seus processos de elaboração e prestação;</w:t>
      </w:r>
    </w:p>
    <w:p w:rsidR="00000000" w:rsidDel="00000000" w:rsidP="00000000" w:rsidRDefault="00000000" w:rsidRPr="00000000" w14:paraId="0000006A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14.2 A diretriz prevista no art. 225 da Constituição da República, preconiza que todos têm direito ao meio ambiente ecologicamente equilibrado, bem de uso comum do povo e essencial à sadia qualidade de vida, impondo-se ao poder público e à coletividade o dever de defendê-lo e preservá-lo para as presentes e futuras gerações;</w:t>
      </w:r>
    </w:p>
    <w:p w:rsidR="00000000" w:rsidDel="00000000" w:rsidP="00000000" w:rsidRDefault="00000000" w:rsidRPr="00000000" w14:paraId="0000006B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14.3 A Lei n° 6.938, de 31 de agosto de 1981, que dispõe sobre a Política Nacional do Meio Ambiente, cujo objetivo traduz-se na preservação, melhoria e recuperação da qualidade ambiental propícia à vida, visando assegurar, no país, condições ao desenvolvimento socioeconômico, aos interesses da segurança nacional e à proteção da dignidade da vida humana;</w:t>
      </w:r>
    </w:p>
    <w:p w:rsidR="00000000" w:rsidDel="00000000" w:rsidP="00000000" w:rsidRDefault="00000000" w:rsidRPr="00000000" w14:paraId="0000006C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14.4 A Lei n° 12.187, de 29 de dezembro de 2009, instituiu a Política Nacional sobre Mudança de Clima (PNMC), tem como uma de suas diretrizes o estímulo e o apoio à manutenção e à promoção de padrões sustentáveis de produção e consumo (art. 5°, Xlll), e como um de seus instrumentos a adoção de critérios de preferência nas licitações e concorrências públicas para as propostas que propiciem maior economia de energia, água e outros recursos naturais e redução da emissão de gases de efeito estufa e de resíduos (art. 6°, XII);</w:t>
      </w:r>
    </w:p>
    <w:p w:rsidR="00000000" w:rsidDel="00000000" w:rsidP="00000000" w:rsidRDefault="00000000" w:rsidRPr="00000000" w14:paraId="0000006D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14.5 A Lei n° 12.305, de 2 de agosto de 2010 institui a Política Nacional de Resíduos Sólidos (PNRS), cujo art. 7°, inciso XI, destaca como um dos objetivos a prioridade nas aquisições e contratações governamentais de produtos reciclados e recicláveis, assim como de bens, serviços e obras que considerem critérios compatíveis com padrões de consumo social e ambientalmente sustentáveis. O Decreto n° 7.746, de 5 de junho de 2012 estabelecendo critérios, práticas e diretrizes gerais de sustentabilidade nas contratações realizadas pela administração pública federal;</w:t>
      </w:r>
    </w:p>
    <w:p w:rsidR="00000000" w:rsidDel="00000000" w:rsidP="00000000" w:rsidRDefault="00000000" w:rsidRPr="00000000" w14:paraId="0000006E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14.6 A Instrução Normativa n° 1, de 19 de janeiro de 2010, da Secretaria de Logística e Tecnologia da Informação do Ministério do Planejamento, Orçamento e Gestão (SLTl/MPOG), a qual prevê expressamente que as especificações técnicas para aquisições de bens e contratações de obras e serviços deverão conter critérios ambientais nos processos de extração, fabricação, utilização e descarte de matérias primas, sem frustrar o caráter competitivo do certame;</w:t>
      </w:r>
    </w:p>
    <w:p w:rsidR="00000000" w:rsidDel="00000000" w:rsidP="00000000" w:rsidRDefault="00000000" w:rsidRPr="00000000" w14:paraId="0000006F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14.7 A Instrução Normativa n° 10, de 12 de novembro de 2012, da SLTl/MPOG, estabelece regras para elaboração dos Planos de Gestão de Logística Sustentável, incitando as práticas de contratações sustentáveis, conforme disposto no art. 11, inciso VI e o anexo II da referida norma.</w:t>
      </w:r>
    </w:p>
    <w:p w:rsidR="00000000" w:rsidDel="00000000" w:rsidP="00000000" w:rsidRDefault="00000000" w:rsidRPr="00000000" w14:paraId="00000070">
      <w:pPr>
        <w:spacing w:after="0"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14.8 São exigências para o presente processo de compra pública, os seguintes </w:t>
      </w:r>
      <w:r w:rsidDel="00000000" w:rsidR="00000000" w:rsidRPr="00000000">
        <w:rPr>
          <w:b w:val="1"/>
          <w:sz w:val="24"/>
          <w:szCs w:val="24"/>
          <w:rtl w:val="0"/>
        </w:rPr>
        <w:t xml:space="preserve">CRITÉRIOS DE SUSTENTABILIDADE AMBIENTAL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71">
      <w:pPr>
        <w:spacing w:after="60" w:line="240" w:lineRule="auto"/>
        <w:ind w:left="5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14.8.1. Os critérios de sustentabilidade são aqueles previstos nas especificações do objeto e/ou obrigações da contratada e/ou no edital como requisito previsto em lei especial</w:t>
      </w:r>
    </w:p>
    <w:p w:rsidR="00000000" w:rsidDel="00000000" w:rsidP="00000000" w:rsidRDefault="00000000" w:rsidRPr="00000000" w14:paraId="00000072">
      <w:pPr>
        <w:spacing w:after="60" w:line="240" w:lineRule="auto"/>
        <w:ind w:left="5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14.8.2. Serão utilizados como critérios de sustentabilidade ambiental os dispostos nos artigos 5º e 6º da Instrução Normativa MPOG nº 01/2010, e também nos previstos no Guia Nacional de Contratações Sustentáveis, edição 2019, de acordo com o que se segue:</w:t>
      </w:r>
    </w:p>
    <w:p w:rsidR="00000000" w:rsidDel="00000000" w:rsidP="00000000" w:rsidRDefault="00000000" w:rsidRPr="00000000" w14:paraId="00000073">
      <w:pPr>
        <w:spacing w:after="60" w:line="240" w:lineRule="auto"/>
        <w:ind w:left="5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14.8.3. que os bens devam ser preferencialmente acondicionados em embalagem individual adequada com o menor volume possível, que utilize materiais recicláveis de forma a garantir a máxima proteção durante o transporte e o armazenamento;</w:t>
      </w:r>
    </w:p>
    <w:p w:rsidR="00000000" w:rsidDel="00000000" w:rsidP="00000000" w:rsidRDefault="00000000" w:rsidRPr="00000000" w14:paraId="00000074">
      <w:pPr>
        <w:spacing w:after="240" w:before="0" w:line="240" w:lineRule="auto"/>
        <w:ind w:left="5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14.8.4. a comprovação deverá ser feita mediante apresentação de certificação emitida por instituição pública oficial ou instituição credenciada ou por qualquer outro meio de prova que ateste que o bem fornecido cumpre com as exigências do edital;</w:t>
      </w:r>
    </w:p>
    <w:p w:rsidR="00000000" w:rsidDel="00000000" w:rsidP="00000000" w:rsidRDefault="00000000" w:rsidRPr="00000000" w14:paraId="00000075">
      <w:pPr>
        <w:spacing w:after="0" w:line="240" w:lineRule="auto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40" w:lineRule="auto"/>
        <w:jc w:val="both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15. Declaração de Viabilidade</w:t>
      </w:r>
    </w:p>
    <w:p w:rsidR="00000000" w:rsidDel="00000000" w:rsidP="00000000" w:rsidRDefault="00000000" w:rsidRPr="00000000" w14:paraId="00000078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 equipe de planejamento declara </w:t>
      </w:r>
      <w:r w:rsidDel="00000000" w:rsidR="00000000" w:rsidRPr="00000000">
        <w:rPr>
          <w:b w:val="1"/>
          <w:sz w:val="24"/>
          <w:szCs w:val="24"/>
          <w:rtl w:val="0"/>
        </w:rPr>
        <w:t xml:space="preserve">viável</w:t>
      </w:r>
      <w:r w:rsidDel="00000000" w:rsidR="00000000" w:rsidRPr="00000000">
        <w:rPr>
          <w:sz w:val="24"/>
          <w:szCs w:val="24"/>
          <w:rtl w:val="0"/>
        </w:rPr>
        <w:t xml:space="preserve"> esta contratação com base neste Estudo Técnico Preliminar.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389793" cy="362598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151100" y="3596975"/>
                          <a:ext cx="389793" cy="362598"/>
                          <a:chOff x="5151100" y="3596975"/>
                          <a:chExt cx="395750" cy="365225"/>
                        </a:xfrm>
                      </wpg:grpSpPr>
                      <wps:wsp>
                        <wps:cNvSpPr/>
                        <wps:cNvPr id="7" name="Shape 7"/>
                        <wps:spPr>
                          <a:xfrm>
                            <a:off x="5157454" y="3604154"/>
                            <a:ext cx="377093" cy="3516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cap="flat" cmpd="sng" w="12700">
                            <a:solidFill>
                              <a:schemeClr val="dk1"/>
                            </a:solidFill>
                            <a:prstDash val="solid"/>
                            <a:miter lim="800000"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Calibri" w:cs="Calibri" w:eastAsia="Calibri" w:hAnsi="Calibri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vertAlign w:val="baseline"/>
                                </w:rPr>
                                <w:t xml:space="preserve">        </w:t>
                              </w:r>
                            </w:p>
                          </w:txbxContent>
                        </wps:txbx>
                        <wps:bodyPr anchorCtr="0" anchor="ctr" bIns="45700" lIns="91425" spcFirstLastPara="1" rIns="91425" wrap="square" tIns="45700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5162550" y="3614750"/>
                            <a:ext cx="371400" cy="3429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flipH="1">
                            <a:off x="5167350" y="3600450"/>
                            <a:ext cx="376200" cy="3573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389793" cy="362598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9793" cy="36259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A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Esta equipe de planejamento declara </w:t>
      </w:r>
      <w:r w:rsidDel="00000000" w:rsidR="00000000" w:rsidRPr="00000000">
        <w:rPr>
          <w:b w:val="1"/>
          <w:sz w:val="24"/>
          <w:szCs w:val="24"/>
          <w:rtl w:val="0"/>
        </w:rPr>
        <w:t xml:space="preserve">viável com restrições</w:t>
      </w:r>
      <w:r w:rsidDel="00000000" w:rsidR="00000000" w:rsidRPr="00000000">
        <w:rPr>
          <w:sz w:val="24"/>
          <w:szCs w:val="24"/>
          <w:rtl w:val="0"/>
        </w:rPr>
        <w:t xml:space="preserve"> esta contratação com base neste Estudo Técnico Preliminar.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38100</wp:posOffset>
                </wp:positionV>
                <wp:extent cx="381488" cy="346808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61606" y="3612946"/>
                          <a:ext cx="368788" cy="3341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38100</wp:posOffset>
                </wp:positionV>
                <wp:extent cx="381488" cy="346808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1488" cy="34680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C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 equipe de planejamento declara </w:t>
      </w:r>
      <w:r w:rsidDel="00000000" w:rsidR="00000000" w:rsidRPr="00000000">
        <w:rPr>
          <w:b w:val="1"/>
          <w:sz w:val="24"/>
          <w:szCs w:val="24"/>
          <w:rtl w:val="0"/>
        </w:rPr>
        <w:t xml:space="preserve">inviável</w:t>
      </w:r>
      <w:r w:rsidDel="00000000" w:rsidR="00000000" w:rsidRPr="00000000">
        <w:rPr>
          <w:sz w:val="24"/>
          <w:szCs w:val="24"/>
          <w:rtl w:val="0"/>
        </w:rPr>
        <w:t xml:space="preserve"> esta contratação com base neste Estudo Técnico Preliminar.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50800</wp:posOffset>
                </wp:positionV>
                <wp:extent cx="381000" cy="381977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161850" y="3595362"/>
                          <a:ext cx="368300" cy="3692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50800</wp:posOffset>
                </wp:positionV>
                <wp:extent cx="381000" cy="381977"/>
                <wp:effectExtent b="0" l="0" r="0" t="0"/>
                <wp:wrapNone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1000" cy="38197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E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15.1. Justificativa da Viabilidade</w:t>
      </w:r>
    </w:p>
    <w:p w:rsidR="00000000" w:rsidDel="00000000" w:rsidP="00000000" w:rsidRDefault="00000000" w:rsidRPr="00000000" w14:paraId="00000081">
      <w:pPr>
        <w:spacing w:after="0" w:line="240" w:lineRule="auto"/>
        <w:ind w:left="851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before="12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contratação se demonstra viável já que existe pelo menos uma empresa com capacidade e com demonstração de interesse na execução do objeto.</w:t>
      </w:r>
    </w:p>
    <w:p w:rsidR="00000000" w:rsidDel="00000000" w:rsidP="00000000" w:rsidRDefault="00000000" w:rsidRPr="00000000" w14:paraId="00000083">
      <w:pPr>
        <w:spacing w:after="0" w:before="120" w:line="276" w:lineRule="auto"/>
        <w:jc w:val="both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16. Do Acesso às informações contidas no presente Estudo Técnico Preliminar</w:t>
      </w:r>
    </w:p>
    <w:p w:rsidR="00000000" w:rsidDel="00000000" w:rsidP="00000000" w:rsidRDefault="00000000" w:rsidRPr="00000000" w14:paraId="00000086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Nos termos da Lei nº 12.527, de 18 de novembro de 2011, esta Equipe de Planejamento entende que:</w:t>
      </w:r>
    </w:p>
    <w:p w:rsidR="00000000" w:rsidDel="00000000" w:rsidP="00000000" w:rsidRDefault="00000000" w:rsidRPr="00000000" w14:paraId="00000088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informações contidas nos presentes Estudos Preliminares </w:t>
      </w:r>
      <w:r w:rsidDel="00000000" w:rsidR="00000000" w:rsidRPr="00000000">
        <w:rPr>
          <w:b w:val="1"/>
          <w:sz w:val="24"/>
          <w:szCs w:val="24"/>
          <w:rtl w:val="0"/>
        </w:rPr>
        <w:t xml:space="preserve">DEVERÃO ESTAR DISPONÍVEIS</w:t>
      </w:r>
      <w:r w:rsidDel="00000000" w:rsidR="00000000" w:rsidRPr="00000000">
        <w:rPr>
          <w:sz w:val="24"/>
          <w:szCs w:val="24"/>
          <w:rtl w:val="0"/>
        </w:rPr>
        <w:t xml:space="preserve"> para qualquer interessado, pois não se caracterizam como sigilosas.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12700</wp:posOffset>
                </wp:positionV>
                <wp:extent cx="443523" cy="369603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5124225" y="3593400"/>
                          <a:ext cx="443523" cy="369603"/>
                          <a:chOff x="5124225" y="3593400"/>
                          <a:chExt cx="446175" cy="373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5130589" y="3599758"/>
                            <a:ext cx="430823" cy="3604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cap="flat" cmpd="sng" w="12700">
                            <a:solidFill>
                              <a:schemeClr val="dk1"/>
                            </a:solidFill>
                            <a:prstDash val="solid"/>
                            <a:miter lim="800000"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5130612" y="3599700"/>
                            <a:ext cx="427200" cy="3579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flipH="1">
                            <a:off x="5133875" y="3609975"/>
                            <a:ext cx="433500" cy="3525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rot="10800000">
                            <a:off x="5548275" y="3605100"/>
                            <a:ext cx="4800" cy="14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12700</wp:posOffset>
                </wp:positionV>
                <wp:extent cx="443523" cy="369603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3523" cy="3696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9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informações contidas nos presentes Estudos Preliminares </w:t>
      </w:r>
      <w:r w:rsidDel="00000000" w:rsidR="00000000" w:rsidRPr="00000000">
        <w:rPr>
          <w:b w:val="1"/>
          <w:sz w:val="24"/>
          <w:szCs w:val="24"/>
          <w:rtl w:val="0"/>
        </w:rPr>
        <w:t xml:space="preserve">ASSUMEM CARÁTER SIGILOSO</w:t>
      </w:r>
      <w:r w:rsidDel="00000000" w:rsidR="00000000" w:rsidRPr="00000000">
        <w:rPr>
          <w:sz w:val="24"/>
          <w:szCs w:val="24"/>
          <w:rtl w:val="0"/>
        </w:rPr>
        <w:t xml:space="preserve">, nos termos do Art. 23 da Lei nº 12.527/2011, e, portanto, deverão ter acesso restrito.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76200</wp:posOffset>
                </wp:positionV>
                <wp:extent cx="424913" cy="346807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139894" y="3612947"/>
                          <a:ext cx="412213" cy="3341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76200</wp:posOffset>
                </wp:positionV>
                <wp:extent cx="424913" cy="346807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4913" cy="34680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B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="240" w:lineRule="auto"/>
        <w:ind w:left="851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16. Responsabilidade da Equipe de Planejamento pela Elaboração e Conteúdo do Documento</w:t>
      </w:r>
    </w:p>
    <w:p w:rsidR="00000000" w:rsidDel="00000000" w:rsidP="00000000" w:rsidRDefault="00000000" w:rsidRPr="00000000" w14:paraId="00000090">
      <w:pPr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Certificamos que somos responsáveis pela elaboração do presente documento.</w:t>
      </w:r>
    </w:p>
    <w:p w:rsidR="00000000" w:rsidDel="00000000" w:rsidP="00000000" w:rsidRDefault="00000000" w:rsidRPr="00000000" w14:paraId="00000092">
      <w:pPr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Rio de Janeiro, RJ, __ de maio de 2023</w:t>
      </w:r>
    </w:p>
    <w:p w:rsidR="00000000" w:rsidDel="00000000" w:rsidP="00000000" w:rsidRDefault="00000000" w:rsidRPr="00000000" w14:paraId="00000094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Integrantes da Equipe de Planejamento da Contratação</w:t>
      </w:r>
    </w:p>
    <w:p w:rsidR="00000000" w:rsidDel="00000000" w:rsidP="00000000" w:rsidRDefault="00000000" w:rsidRPr="00000000" w14:paraId="00000096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Arthur </w:t>
      </w:r>
      <w:r w:rsidDel="00000000" w:rsidR="00000000" w:rsidRPr="00000000">
        <w:rPr>
          <w:b w:val="1"/>
          <w:rtl w:val="0"/>
        </w:rPr>
        <w:t xml:space="preserve">Passos da Costa</w:t>
      </w:r>
      <w:r w:rsidDel="00000000" w:rsidR="00000000" w:rsidRPr="00000000">
        <w:rPr>
          <w:rtl w:val="0"/>
        </w:rPr>
        <w:t xml:space="preserve"> Aragão Braga – 1º Ten</w:t>
      </w:r>
    </w:p>
    <w:p w:rsidR="00000000" w:rsidDel="00000000" w:rsidP="00000000" w:rsidRDefault="00000000" w:rsidRPr="00000000" w14:paraId="00000099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Adjunto STMC</w:t>
      </w:r>
    </w:p>
    <w:p w:rsidR="00000000" w:rsidDel="00000000" w:rsidP="00000000" w:rsidRDefault="00000000" w:rsidRPr="00000000" w14:paraId="0000009A">
      <w:pPr>
        <w:widowControl w:val="0"/>
        <w:spacing w:after="240" w:before="240" w:line="240" w:lineRule="auto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B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Caroline </w:t>
      </w:r>
      <w:r w:rsidDel="00000000" w:rsidR="00000000" w:rsidRPr="00000000">
        <w:rPr>
          <w:b w:val="1"/>
          <w:rtl w:val="0"/>
        </w:rPr>
        <w:t xml:space="preserve">Jovine</w:t>
      </w:r>
      <w:r w:rsidDel="00000000" w:rsidR="00000000" w:rsidRPr="00000000">
        <w:rPr>
          <w:rtl w:val="0"/>
        </w:rPr>
        <w:t xml:space="preserve"> Bouças Guimarães - Cap</w:t>
      </w:r>
    </w:p>
    <w:p w:rsidR="00000000" w:rsidDel="00000000" w:rsidP="00000000" w:rsidRDefault="00000000" w:rsidRPr="00000000" w14:paraId="0000009C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Adjunta STMC </w:t>
      </w:r>
    </w:p>
    <w:p w:rsidR="00000000" w:rsidDel="00000000" w:rsidP="00000000" w:rsidRDefault="00000000" w:rsidRPr="00000000" w14:paraId="0000009D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Maria </w:t>
      </w:r>
      <w:r w:rsidDel="00000000" w:rsidR="00000000" w:rsidRPr="00000000">
        <w:rPr>
          <w:b w:val="1"/>
          <w:rtl w:val="0"/>
        </w:rPr>
        <w:t xml:space="preserve">Helena</w:t>
      </w:r>
      <w:r w:rsidDel="00000000" w:rsidR="00000000" w:rsidRPr="00000000">
        <w:rPr>
          <w:rtl w:val="0"/>
        </w:rPr>
        <w:t xml:space="preserve"> Gonçalves Pereira - Ten Cel</w:t>
      </w:r>
    </w:p>
    <w:p w:rsidR="00000000" w:rsidDel="00000000" w:rsidP="00000000" w:rsidRDefault="00000000" w:rsidRPr="00000000" w14:paraId="000000A1">
      <w:pPr>
        <w:widowControl w:val="0"/>
        <w:spacing w:after="0"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Chefe STMC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1" w:top="851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62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5.png"/><Relationship Id="rId10" Type="http://schemas.openxmlformats.org/officeDocument/2006/relationships/image" Target="media/image3.png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